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F3429A" w14:paraId="1AC42ABF" w14:textId="77777777" w:rsidTr="00050DA7">
        <w:tc>
          <w:tcPr>
            <w:tcW w:w="4428" w:type="dxa"/>
          </w:tcPr>
          <w:p w14:paraId="1D63C303" w14:textId="3BE37668" w:rsidR="000348ED" w:rsidRPr="00F3429A" w:rsidRDefault="005D05AC" w:rsidP="0050605E">
            <w:pPr>
              <w:tabs>
                <w:tab w:val="left" w:pos="851"/>
              </w:tabs>
            </w:pPr>
            <w:bookmarkStart w:id="0" w:name="_GoBack"/>
            <w:bookmarkEnd w:id="0"/>
            <w:r w:rsidRPr="00F3429A">
              <w:t>From:</w:t>
            </w:r>
            <w:r w:rsidRPr="00F3429A">
              <w:tab/>
            </w:r>
            <w:r w:rsidR="0050605E">
              <w:t>ENG Committee</w:t>
            </w:r>
          </w:p>
        </w:tc>
        <w:tc>
          <w:tcPr>
            <w:tcW w:w="5461" w:type="dxa"/>
          </w:tcPr>
          <w:p w14:paraId="173D03B6" w14:textId="3278A0CA" w:rsidR="000348ED" w:rsidRPr="00F3429A" w:rsidRDefault="00C10014" w:rsidP="00D534EC">
            <w:pPr>
              <w:jc w:val="right"/>
            </w:pPr>
            <w:r>
              <w:t>ENG5-11.1.10</w:t>
            </w:r>
          </w:p>
        </w:tc>
      </w:tr>
      <w:tr w:rsidR="000348ED" w:rsidRPr="00F3429A" w14:paraId="5549A57C" w14:textId="77777777" w:rsidTr="00050DA7">
        <w:tc>
          <w:tcPr>
            <w:tcW w:w="4428" w:type="dxa"/>
          </w:tcPr>
          <w:p w14:paraId="72A89BC1" w14:textId="01D0352B" w:rsidR="000D6ADA" w:rsidRPr="00F3429A" w:rsidRDefault="005D05AC" w:rsidP="00C10014">
            <w:pPr>
              <w:tabs>
                <w:tab w:val="left" w:pos="851"/>
              </w:tabs>
            </w:pPr>
            <w:r w:rsidRPr="00F3429A">
              <w:t>To:</w:t>
            </w:r>
            <w:r w:rsidRPr="00F3429A">
              <w:tab/>
            </w:r>
            <w:r w:rsidR="0050605E">
              <w:t>Secretariat</w:t>
            </w:r>
            <w:r w:rsidR="00C10014">
              <w:t xml:space="preserve"> (Mike Hadley)</w:t>
            </w:r>
            <w:r w:rsidR="000D6ADA">
              <w:tab/>
            </w:r>
          </w:p>
        </w:tc>
        <w:tc>
          <w:tcPr>
            <w:tcW w:w="5461" w:type="dxa"/>
          </w:tcPr>
          <w:p w14:paraId="496C280F" w14:textId="7E7B62B4" w:rsidR="000348ED" w:rsidRPr="00F3429A" w:rsidRDefault="0050605E" w:rsidP="00C36C78">
            <w:pPr>
              <w:jc w:val="right"/>
            </w:pPr>
            <w:r>
              <w:t>2016-10-12</w:t>
            </w:r>
          </w:p>
        </w:tc>
      </w:tr>
    </w:tbl>
    <w:p w14:paraId="1054FBDB" w14:textId="103586F6" w:rsidR="000348ED" w:rsidRDefault="003A1481" w:rsidP="003A1481">
      <w:pPr>
        <w:pStyle w:val="Title"/>
        <w:tabs>
          <w:tab w:val="left" w:pos="3630"/>
        </w:tabs>
        <w:spacing w:after="120"/>
        <w:jc w:val="left"/>
        <w:rPr>
          <w:color w:val="000000"/>
        </w:rPr>
      </w:pPr>
      <w:r>
        <w:rPr>
          <w:color w:val="000000"/>
        </w:rPr>
        <w:tab/>
      </w:r>
      <w:r w:rsidR="00F3429A" w:rsidRPr="00F3429A">
        <w:rPr>
          <w:color w:val="000000"/>
        </w:rPr>
        <w:t xml:space="preserve">Liaison note to </w:t>
      </w:r>
      <w:r w:rsidR="0050605E">
        <w:rPr>
          <w:color w:val="000000"/>
        </w:rPr>
        <w:t>Secretariat</w:t>
      </w:r>
    </w:p>
    <w:p w14:paraId="274EBD67" w14:textId="75886E23" w:rsidR="00543A41" w:rsidRDefault="0050605E" w:rsidP="00543A41">
      <w:pPr>
        <w:pStyle w:val="Title"/>
        <w:spacing w:after="120"/>
        <w:rPr>
          <w:color w:val="000000"/>
        </w:rPr>
      </w:pPr>
      <w:r>
        <w:rPr>
          <w:color w:val="000000"/>
        </w:rPr>
        <w:t>Response to queries raised during reformatting exercise.</w:t>
      </w:r>
    </w:p>
    <w:p w14:paraId="12C4DEC7" w14:textId="3DDFC96C" w:rsidR="00543A41" w:rsidRDefault="007D6A7E" w:rsidP="00543A41">
      <w:pPr>
        <w:pStyle w:val="Heading1"/>
        <w:rPr>
          <w:lang w:val="en-GB"/>
        </w:rPr>
      </w:pPr>
      <w:r>
        <w:rPr>
          <w:lang w:val="en-GB"/>
        </w:rPr>
        <w:t>Summary of work</w:t>
      </w:r>
    </w:p>
    <w:p w14:paraId="6345E230" w14:textId="3043700F" w:rsidR="008C2810" w:rsidRDefault="0050605E" w:rsidP="00800567">
      <w:pPr>
        <w:spacing w:before="120" w:after="120"/>
        <w:jc w:val="both"/>
        <w:rPr>
          <w:rFonts w:cs="Arial"/>
          <w:sz w:val="24"/>
          <w:szCs w:val="24"/>
        </w:rPr>
      </w:pPr>
      <w:r>
        <w:rPr>
          <w:rFonts w:cs="Arial"/>
          <w:sz w:val="24"/>
          <w:szCs w:val="24"/>
        </w:rPr>
        <w:t>The Secretariat sent 11 documents which had been reformatted into the new style</w:t>
      </w:r>
      <w:r w:rsidR="00C10014" w:rsidRPr="00C10014">
        <w:rPr>
          <w:rFonts w:cs="Arial"/>
          <w:sz w:val="24"/>
          <w:szCs w:val="24"/>
        </w:rPr>
        <w:t xml:space="preserve"> </w:t>
      </w:r>
      <w:r w:rsidR="00C10014">
        <w:rPr>
          <w:rFonts w:cs="Arial"/>
          <w:sz w:val="24"/>
          <w:szCs w:val="24"/>
        </w:rPr>
        <w:t>to the ENG Committee</w:t>
      </w:r>
      <w:r>
        <w:rPr>
          <w:rFonts w:cs="Arial"/>
          <w:sz w:val="24"/>
          <w:szCs w:val="24"/>
        </w:rPr>
        <w:t>, with a request to respond to queries and suggestions raised during the reformatting exercise.</w:t>
      </w:r>
    </w:p>
    <w:p w14:paraId="2093FC18" w14:textId="1158646F" w:rsidR="0050605E" w:rsidRDefault="0050605E" w:rsidP="00C85609">
      <w:pPr>
        <w:spacing w:before="120" w:after="120"/>
        <w:jc w:val="both"/>
        <w:rPr>
          <w:rFonts w:cs="Arial"/>
          <w:sz w:val="24"/>
          <w:szCs w:val="24"/>
        </w:rPr>
      </w:pPr>
      <w:r>
        <w:rPr>
          <w:rFonts w:cs="Arial"/>
          <w:sz w:val="24"/>
          <w:szCs w:val="24"/>
        </w:rPr>
        <w:t xml:space="preserve">The ENG </w:t>
      </w:r>
      <w:r w:rsidR="003A1481">
        <w:rPr>
          <w:rFonts w:cs="Arial"/>
          <w:sz w:val="24"/>
          <w:szCs w:val="24"/>
        </w:rPr>
        <w:t xml:space="preserve">Committee wishes to advise that </w:t>
      </w:r>
      <w:r>
        <w:rPr>
          <w:rFonts w:cs="Arial"/>
          <w:sz w:val="24"/>
          <w:szCs w:val="24"/>
        </w:rPr>
        <w:t>5 of the documents are already being reviewed and developed as part of the ENG Work Plan and that the queries and suggesstions shall be noted in that review and incorporated as required. Those documents include;</w:t>
      </w:r>
    </w:p>
    <w:p w14:paraId="3CD085C7" w14:textId="5AC5233A" w:rsidR="0050605E" w:rsidRPr="0050605E" w:rsidRDefault="0050605E" w:rsidP="0050605E">
      <w:pPr>
        <w:pStyle w:val="ListParagraph"/>
        <w:numPr>
          <w:ilvl w:val="0"/>
          <w:numId w:val="29"/>
        </w:numPr>
        <w:spacing w:before="120" w:after="120"/>
        <w:jc w:val="both"/>
        <w:rPr>
          <w:rFonts w:cs="Arial"/>
          <w:sz w:val="24"/>
          <w:szCs w:val="24"/>
        </w:rPr>
      </w:pPr>
      <w:r w:rsidRPr="0050605E">
        <w:rPr>
          <w:rFonts w:cs="Arial"/>
          <w:sz w:val="24"/>
          <w:szCs w:val="24"/>
        </w:rPr>
        <w:t>IALA Guideline 1036 Ed.2 Environmental Management December 2013 rev1</w:t>
      </w:r>
    </w:p>
    <w:p w14:paraId="57E55E3B" w14:textId="46DEF9CC" w:rsidR="0050605E" w:rsidRPr="0050605E" w:rsidRDefault="0050605E" w:rsidP="0050605E">
      <w:pPr>
        <w:pStyle w:val="ListParagraph"/>
        <w:numPr>
          <w:ilvl w:val="0"/>
          <w:numId w:val="29"/>
        </w:numPr>
        <w:spacing w:before="120" w:after="120"/>
        <w:jc w:val="both"/>
        <w:rPr>
          <w:rFonts w:cs="Arial"/>
          <w:sz w:val="24"/>
          <w:szCs w:val="24"/>
        </w:rPr>
      </w:pPr>
      <w:r w:rsidRPr="0050605E">
        <w:rPr>
          <w:rFonts w:cs="Arial"/>
          <w:sz w:val="24"/>
          <w:szCs w:val="24"/>
        </w:rPr>
        <w:t>IALA Guideline 1039 Ed.1 Designing Solar Power Systems for Aids to Navigation December 2004</w:t>
      </w:r>
    </w:p>
    <w:p w14:paraId="7321DE66" w14:textId="69BAD186" w:rsidR="0050605E" w:rsidRPr="0050605E" w:rsidRDefault="0050605E" w:rsidP="0050605E">
      <w:pPr>
        <w:pStyle w:val="ListParagraph"/>
        <w:numPr>
          <w:ilvl w:val="0"/>
          <w:numId w:val="29"/>
        </w:numPr>
        <w:spacing w:before="120" w:after="120"/>
        <w:jc w:val="both"/>
        <w:rPr>
          <w:rFonts w:cs="Arial"/>
          <w:sz w:val="24"/>
          <w:szCs w:val="24"/>
        </w:rPr>
      </w:pPr>
      <w:r w:rsidRPr="0050605E">
        <w:rPr>
          <w:rFonts w:cs="Arial"/>
          <w:sz w:val="24"/>
          <w:szCs w:val="24"/>
        </w:rPr>
        <w:t>IALA Guideline 1076 Ed.1 Building Conditioning of Lighthouses December 2009 rev1</w:t>
      </w:r>
    </w:p>
    <w:p w14:paraId="3F04FF69" w14:textId="332E7E53" w:rsidR="0050605E" w:rsidRPr="0050605E" w:rsidRDefault="0050605E" w:rsidP="0050605E">
      <w:pPr>
        <w:pStyle w:val="ListParagraph"/>
        <w:numPr>
          <w:ilvl w:val="0"/>
          <w:numId w:val="29"/>
        </w:numPr>
        <w:spacing w:before="120" w:after="120"/>
        <w:jc w:val="both"/>
        <w:rPr>
          <w:rFonts w:cs="Arial"/>
          <w:sz w:val="24"/>
          <w:szCs w:val="24"/>
        </w:rPr>
      </w:pPr>
      <w:r w:rsidRPr="0050605E">
        <w:rPr>
          <w:rFonts w:cs="Arial"/>
          <w:sz w:val="24"/>
          <w:szCs w:val="24"/>
        </w:rPr>
        <w:t>IALA Guideline 1006 Ed.3.1 Plastic Buoys December 2013</w:t>
      </w:r>
    </w:p>
    <w:p w14:paraId="19B10308" w14:textId="06E8C87C" w:rsidR="0050605E" w:rsidRDefault="0050605E" w:rsidP="0050605E">
      <w:pPr>
        <w:pStyle w:val="ListParagraph"/>
        <w:numPr>
          <w:ilvl w:val="0"/>
          <w:numId w:val="29"/>
        </w:numPr>
        <w:spacing w:before="120" w:after="120"/>
        <w:jc w:val="both"/>
        <w:rPr>
          <w:rFonts w:cs="Arial"/>
          <w:sz w:val="24"/>
          <w:szCs w:val="24"/>
        </w:rPr>
      </w:pPr>
      <w:r w:rsidRPr="0050605E">
        <w:rPr>
          <w:rFonts w:cs="Arial"/>
          <w:sz w:val="24"/>
          <w:szCs w:val="24"/>
        </w:rPr>
        <w:t>IALA Guideline 1007 Ed.1.1 Lighthouse Maintenance December 2005</w:t>
      </w:r>
    </w:p>
    <w:p w14:paraId="262EACAB" w14:textId="5BBE8DC9" w:rsidR="008C2810" w:rsidRDefault="008C2810" w:rsidP="008C2810">
      <w:pPr>
        <w:pStyle w:val="ListParagraph"/>
        <w:numPr>
          <w:ilvl w:val="0"/>
          <w:numId w:val="29"/>
        </w:numPr>
        <w:spacing w:before="120" w:after="120"/>
        <w:jc w:val="both"/>
        <w:rPr>
          <w:rFonts w:cs="Arial"/>
          <w:sz w:val="24"/>
          <w:szCs w:val="24"/>
        </w:rPr>
      </w:pPr>
      <w:r>
        <w:rPr>
          <w:rFonts w:cs="Arial"/>
          <w:sz w:val="24"/>
          <w:szCs w:val="24"/>
        </w:rPr>
        <w:t xml:space="preserve">IALA Guideline 1023 </w:t>
      </w:r>
      <w:r w:rsidRPr="008C2810">
        <w:rPr>
          <w:rFonts w:cs="Arial"/>
          <w:sz w:val="24"/>
          <w:szCs w:val="24"/>
        </w:rPr>
        <w:t xml:space="preserve">Ed.1.1 Design of Leading Lines December 2005 rev1 </w:t>
      </w:r>
      <w:r>
        <w:rPr>
          <w:rFonts w:cs="Arial"/>
          <w:sz w:val="24"/>
          <w:szCs w:val="24"/>
        </w:rPr>
        <w:t>(ENG5-9.22)</w:t>
      </w:r>
    </w:p>
    <w:p w14:paraId="1109911C" w14:textId="2E62CFB6" w:rsidR="008C2810" w:rsidRDefault="008C2810" w:rsidP="008C2810">
      <w:pPr>
        <w:pStyle w:val="ListParagraph"/>
        <w:numPr>
          <w:ilvl w:val="0"/>
          <w:numId w:val="29"/>
        </w:numPr>
        <w:spacing w:before="120" w:after="120"/>
        <w:jc w:val="both"/>
        <w:rPr>
          <w:rFonts w:cs="Arial"/>
          <w:sz w:val="24"/>
          <w:szCs w:val="24"/>
        </w:rPr>
      </w:pPr>
      <w:r>
        <w:rPr>
          <w:rFonts w:cs="Arial"/>
          <w:sz w:val="24"/>
          <w:szCs w:val="24"/>
        </w:rPr>
        <w:t xml:space="preserve">IALA Guideline 1043 </w:t>
      </w:r>
      <w:r w:rsidRPr="008C2810">
        <w:rPr>
          <w:rFonts w:cs="Arial"/>
          <w:sz w:val="24"/>
          <w:szCs w:val="24"/>
        </w:rPr>
        <w:t xml:space="preserve">Ed.1.2 Light Sources used in Visual AtoN December 2011 rev1 </w:t>
      </w:r>
      <w:r>
        <w:rPr>
          <w:rFonts w:cs="Arial"/>
          <w:sz w:val="24"/>
          <w:szCs w:val="24"/>
        </w:rPr>
        <w:t>(ENG5-9.23)</w:t>
      </w:r>
    </w:p>
    <w:p w14:paraId="666396E3" w14:textId="50AD9610" w:rsidR="008C2810" w:rsidRDefault="008C2810" w:rsidP="008C2810">
      <w:pPr>
        <w:pStyle w:val="ListParagraph"/>
        <w:numPr>
          <w:ilvl w:val="0"/>
          <w:numId w:val="29"/>
        </w:numPr>
        <w:spacing w:before="120" w:after="120"/>
        <w:jc w:val="both"/>
        <w:rPr>
          <w:rFonts w:cs="Arial"/>
          <w:sz w:val="24"/>
          <w:szCs w:val="24"/>
        </w:rPr>
      </w:pPr>
      <w:r>
        <w:rPr>
          <w:rFonts w:cs="Arial"/>
          <w:sz w:val="24"/>
          <w:szCs w:val="24"/>
        </w:rPr>
        <w:t xml:space="preserve">IALA Guideline 1073 </w:t>
      </w:r>
      <w:r w:rsidRPr="008C2810">
        <w:rPr>
          <w:rFonts w:cs="Arial"/>
          <w:sz w:val="24"/>
          <w:szCs w:val="24"/>
        </w:rPr>
        <w:t xml:space="preserve">Ed.1 Conspicuity of AtoN Lights at Night June 2011 rev2 </w:t>
      </w:r>
      <w:r>
        <w:rPr>
          <w:rFonts w:cs="Arial"/>
          <w:sz w:val="24"/>
          <w:szCs w:val="24"/>
        </w:rPr>
        <w:t>(ENG5-9.24)</w:t>
      </w:r>
    </w:p>
    <w:p w14:paraId="64BC3370" w14:textId="494895CB" w:rsidR="008C2810" w:rsidRPr="0050605E" w:rsidRDefault="008C2810" w:rsidP="008C2810">
      <w:pPr>
        <w:pStyle w:val="ListParagraph"/>
        <w:numPr>
          <w:ilvl w:val="0"/>
          <w:numId w:val="29"/>
        </w:numPr>
        <w:spacing w:before="120" w:after="120"/>
        <w:jc w:val="both"/>
        <w:rPr>
          <w:rFonts w:cs="Arial"/>
          <w:sz w:val="24"/>
          <w:szCs w:val="24"/>
        </w:rPr>
      </w:pPr>
      <w:r>
        <w:rPr>
          <w:rFonts w:cs="Arial"/>
          <w:sz w:val="24"/>
          <w:szCs w:val="24"/>
        </w:rPr>
        <w:t xml:space="preserve">IALA Guideline 1065 </w:t>
      </w:r>
      <w:r w:rsidRPr="008C2810">
        <w:rPr>
          <w:rFonts w:cs="Arial"/>
          <w:sz w:val="24"/>
          <w:szCs w:val="24"/>
        </w:rPr>
        <w:t xml:space="preserve">Ed.2 Vertical Divergence December 2013 rev3 </w:t>
      </w:r>
      <w:r>
        <w:rPr>
          <w:rFonts w:cs="Arial"/>
          <w:sz w:val="24"/>
          <w:szCs w:val="24"/>
        </w:rPr>
        <w:t>(ENG5-9.1.1)</w:t>
      </w:r>
    </w:p>
    <w:p w14:paraId="7133CA5E" w14:textId="3FE7969C" w:rsidR="007728AB" w:rsidRDefault="0050605E" w:rsidP="00C85609">
      <w:pPr>
        <w:spacing w:before="120" w:after="120"/>
        <w:jc w:val="both"/>
        <w:rPr>
          <w:rFonts w:cs="Arial"/>
          <w:sz w:val="24"/>
          <w:szCs w:val="24"/>
        </w:rPr>
      </w:pPr>
      <w:r>
        <w:rPr>
          <w:rFonts w:cs="Arial"/>
          <w:sz w:val="24"/>
          <w:szCs w:val="24"/>
        </w:rPr>
        <w:t>The remaining 6 documents</w:t>
      </w:r>
      <w:r w:rsidR="00C10014">
        <w:rPr>
          <w:rFonts w:cs="Arial"/>
          <w:sz w:val="24"/>
          <w:szCs w:val="24"/>
        </w:rPr>
        <w:t xml:space="preserve"> were reviewed and responded to</w:t>
      </w:r>
      <w:r>
        <w:rPr>
          <w:rFonts w:cs="Arial"/>
          <w:sz w:val="24"/>
          <w:szCs w:val="24"/>
        </w:rPr>
        <w:t xml:space="preserve"> as follows;</w:t>
      </w:r>
    </w:p>
    <w:p w14:paraId="0253423D" w14:textId="0C45331B" w:rsidR="0050605E" w:rsidRPr="0050605E" w:rsidRDefault="0050605E" w:rsidP="0050605E">
      <w:pPr>
        <w:pStyle w:val="ListParagraph"/>
        <w:numPr>
          <w:ilvl w:val="0"/>
          <w:numId w:val="30"/>
        </w:numPr>
        <w:spacing w:before="120" w:after="120"/>
        <w:jc w:val="both"/>
        <w:rPr>
          <w:rFonts w:cs="Arial"/>
          <w:sz w:val="24"/>
          <w:szCs w:val="24"/>
        </w:rPr>
      </w:pPr>
      <w:r w:rsidRPr="0050605E">
        <w:rPr>
          <w:rFonts w:cs="Arial"/>
          <w:sz w:val="24"/>
          <w:szCs w:val="24"/>
        </w:rPr>
        <w:t>IALA Guideline 1012 Ed.3 Protection of Lighthouses and other Aids to Navigation against Damage from Lightning May 2013 rev1</w:t>
      </w:r>
      <w:r>
        <w:rPr>
          <w:rFonts w:cs="Arial"/>
          <w:sz w:val="24"/>
          <w:szCs w:val="24"/>
        </w:rPr>
        <w:t xml:space="preserve"> – </w:t>
      </w:r>
      <w:r w:rsidRPr="003A1481">
        <w:rPr>
          <w:rFonts w:cs="Arial"/>
          <w:sz w:val="24"/>
          <w:szCs w:val="24"/>
          <w:u w:val="single"/>
        </w:rPr>
        <w:t>Some minor changes made in response to queries and suggestions.</w:t>
      </w:r>
    </w:p>
    <w:p w14:paraId="0386BE88" w14:textId="77777777" w:rsidR="0050605E" w:rsidRPr="0050605E" w:rsidRDefault="0050605E" w:rsidP="0050605E">
      <w:pPr>
        <w:pStyle w:val="ListParagraph"/>
        <w:numPr>
          <w:ilvl w:val="0"/>
          <w:numId w:val="30"/>
        </w:numPr>
        <w:spacing w:before="120" w:after="120"/>
        <w:jc w:val="both"/>
        <w:rPr>
          <w:rFonts w:cs="Arial"/>
          <w:sz w:val="24"/>
          <w:szCs w:val="24"/>
        </w:rPr>
      </w:pPr>
      <w:r w:rsidRPr="0050605E">
        <w:rPr>
          <w:rFonts w:cs="Arial"/>
          <w:sz w:val="24"/>
          <w:szCs w:val="24"/>
        </w:rPr>
        <w:t>IALA Guideline 1035 Ed.2 Availability and Reliability of Aids to Navigation December 2004 rev1</w:t>
      </w:r>
      <w:r>
        <w:rPr>
          <w:rFonts w:cs="Arial"/>
          <w:sz w:val="24"/>
          <w:szCs w:val="24"/>
        </w:rPr>
        <w:t xml:space="preserve">– </w:t>
      </w:r>
      <w:r w:rsidRPr="0050605E">
        <w:rPr>
          <w:rFonts w:cs="Arial"/>
          <w:sz w:val="24"/>
          <w:szCs w:val="24"/>
          <w:u w:val="single"/>
        </w:rPr>
        <w:t>Some minor changes made in response to queries and suggestions.</w:t>
      </w:r>
    </w:p>
    <w:p w14:paraId="6348169C" w14:textId="77777777" w:rsidR="0050605E" w:rsidRPr="0050605E" w:rsidRDefault="0050605E" w:rsidP="0050605E">
      <w:pPr>
        <w:pStyle w:val="ListParagraph"/>
        <w:numPr>
          <w:ilvl w:val="0"/>
          <w:numId w:val="30"/>
        </w:numPr>
        <w:spacing w:before="120" w:after="120"/>
        <w:jc w:val="both"/>
        <w:rPr>
          <w:rFonts w:cs="Arial"/>
          <w:sz w:val="24"/>
          <w:szCs w:val="24"/>
        </w:rPr>
      </w:pPr>
      <w:r w:rsidRPr="0050605E">
        <w:rPr>
          <w:rFonts w:cs="Arial"/>
          <w:sz w:val="24"/>
          <w:szCs w:val="24"/>
        </w:rPr>
        <w:t>IALA Guideline 1047 Ed.1 Cost Comparison Methodology of Buoy Technologies December 2005</w:t>
      </w:r>
      <w:r>
        <w:rPr>
          <w:rFonts w:cs="Arial"/>
          <w:sz w:val="24"/>
          <w:szCs w:val="24"/>
        </w:rPr>
        <w:t>–</w:t>
      </w:r>
      <w:r w:rsidRPr="0050605E">
        <w:rPr>
          <w:rFonts w:cs="Arial"/>
          <w:sz w:val="24"/>
          <w:szCs w:val="24"/>
          <w:u w:val="single"/>
        </w:rPr>
        <w:t xml:space="preserve"> Some minor changes made in response to queries and suggestions.</w:t>
      </w:r>
    </w:p>
    <w:p w14:paraId="5F984925" w14:textId="4FFEAF51" w:rsidR="0050605E" w:rsidRPr="0050605E" w:rsidRDefault="0050605E" w:rsidP="0050605E">
      <w:pPr>
        <w:pStyle w:val="ListParagraph"/>
        <w:numPr>
          <w:ilvl w:val="0"/>
          <w:numId w:val="30"/>
        </w:numPr>
        <w:spacing w:before="120" w:after="120"/>
        <w:jc w:val="both"/>
        <w:rPr>
          <w:rFonts w:cs="Arial"/>
          <w:sz w:val="24"/>
          <w:szCs w:val="24"/>
          <w:u w:val="single"/>
        </w:rPr>
      </w:pPr>
      <w:r w:rsidRPr="0050605E">
        <w:rPr>
          <w:rFonts w:cs="Arial"/>
          <w:sz w:val="24"/>
          <w:szCs w:val="24"/>
        </w:rPr>
        <w:t>IALA Guideline 1063 Ed.1 Agreements for Complementary use of Lighthouses Dec2008</w:t>
      </w:r>
      <w:r>
        <w:rPr>
          <w:rFonts w:cs="Arial"/>
          <w:sz w:val="24"/>
          <w:szCs w:val="24"/>
        </w:rPr>
        <w:t xml:space="preserve"> – </w:t>
      </w:r>
      <w:r w:rsidRPr="0050605E">
        <w:rPr>
          <w:rFonts w:cs="Arial"/>
          <w:sz w:val="24"/>
          <w:szCs w:val="24"/>
          <w:u w:val="single"/>
        </w:rPr>
        <w:t>Some minor changes made in response to queries and suggestions.</w:t>
      </w:r>
    </w:p>
    <w:p w14:paraId="694860C8" w14:textId="36BB7184" w:rsidR="0050605E" w:rsidRPr="0050605E" w:rsidRDefault="0050605E" w:rsidP="00B409C6">
      <w:pPr>
        <w:pStyle w:val="ListParagraph"/>
        <w:numPr>
          <w:ilvl w:val="0"/>
          <w:numId w:val="30"/>
        </w:numPr>
        <w:spacing w:before="120" w:after="120"/>
        <w:jc w:val="both"/>
        <w:rPr>
          <w:rFonts w:cs="Arial"/>
          <w:sz w:val="24"/>
          <w:szCs w:val="24"/>
        </w:rPr>
      </w:pPr>
      <w:r w:rsidRPr="0050605E">
        <w:rPr>
          <w:rFonts w:cs="Arial"/>
          <w:sz w:val="24"/>
          <w:szCs w:val="24"/>
        </w:rPr>
        <w:t>IALA Guideline 1064 Ed1 Integrated Power Systems Lanterns Dec200</w:t>
      </w:r>
      <w:r>
        <w:rPr>
          <w:rFonts w:cs="Arial"/>
          <w:sz w:val="24"/>
          <w:szCs w:val="24"/>
        </w:rPr>
        <w:t xml:space="preserve"> </w:t>
      </w:r>
      <w:r w:rsidRPr="0050605E">
        <w:rPr>
          <w:rFonts w:cs="Arial"/>
          <w:sz w:val="24"/>
          <w:szCs w:val="24"/>
        </w:rPr>
        <w:t xml:space="preserve">– </w:t>
      </w:r>
      <w:r w:rsidRPr="0050605E">
        <w:rPr>
          <w:rFonts w:cs="Arial"/>
          <w:sz w:val="24"/>
          <w:szCs w:val="24"/>
          <w:u w:val="single"/>
        </w:rPr>
        <w:t>Some minor changes made in response to queries and suggestions.</w:t>
      </w:r>
    </w:p>
    <w:p w14:paraId="0C15ADDB" w14:textId="77777777" w:rsidR="0050605E" w:rsidRPr="0050605E" w:rsidRDefault="0050605E" w:rsidP="0050605E">
      <w:pPr>
        <w:pStyle w:val="ListParagraph"/>
        <w:numPr>
          <w:ilvl w:val="0"/>
          <w:numId w:val="30"/>
        </w:numPr>
        <w:spacing w:before="120" w:after="120"/>
        <w:jc w:val="both"/>
        <w:rPr>
          <w:rFonts w:cs="Arial"/>
          <w:sz w:val="24"/>
          <w:szCs w:val="24"/>
          <w:u w:val="single"/>
        </w:rPr>
      </w:pPr>
      <w:r w:rsidRPr="0050605E">
        <w:rPr>
          <w:rFonts w:cs="Arial"/>
          <w:sz w:val="24"/>
          <w:szCs w:val="24"/>
        </w:rPr>
        <w:t>IALA Guideline 1008 Ed.2 Remote Control and Monitoring June 2009</w:t>
      </w:r>
      <w:r>
        <w:rPr>
          <w:rFonts w:cs="Arial"/>
          <w:sz w:val="24"/>
          <w:szCs w:val="24"/>
        </w:rPr>
        <w:t xml:space="preserve">– </w:t>
      </w:r>
      <w:r w:rsidRPr="0050605E">
        <w:rPr>
          <w:rFonts w:cs="Arial"/>
          <w:sz w:val="24"/>
          <w:szCs w:val="24"/>
          <w:u w:val="single"/>
        </w:rPr>
        <w:t>Some minor changes made in response to queries and suggestions.</w:t>
      </w:r>
    </w:p>
    <w:p w14:paraId="03CF39DF" w14:textId="2CAD92AB" w:rsidR="0050605E" w:rsidRDefault="0050605E" w:rsidP="0050605E">
      <w:pPr>
        <w:pStyle w:val="ListParagraph"/>
        <w:spacing w:before="120" w:after="120"/>
        <w:jc w:val="both"/>
        <w:rPr>
          <w:rFonts w:cs="Arial"/>
          <w:sz w:val="24"/>
          <w:szCs w:val="24"/>
        </w:rPr>
      </w:pPr>
    </w:p>
    <w:p w14:paraId="4699A7AD" w14:textId="77777777" w:rsidR="00C85609" w:rsidRPr="008E5D72" w:rsidRDefault="00C85609" w:rsidP="00C85609">
      <w:pPr>
        <w:spacing w:before="120" w:after="120"/>
        <w:jc w:val="both"/>
        <w:rPr>
          <w:rFonts w:cs="Arial"/>
          <w:b/>
          <w:sz w:val="24"/>
          <w:szCs w:val="24"/>
        </w:rPr>
      </w:pPr>
      <w:r w:rsidRPr="008E5D72">
        <w:rPr>
          <w:rFonts w:cs="Arial"/>
          <w:b/>
          <w:sz w:val="24"/>
          <w:szCs w:val="24"/>
        </w:rPr>
        <w:t>2  Action requested</w:t>
      </w:r>
    </w:p>
    <w:p w14:paraId="1BB00761" w14:textId="3C180731" w:rsidR="009E58C1" w:rsidRPr="007D6A7E" w:rsidRDefault="008E5D72" w:rsidP="007D6A7E">
      <w:pPr>
        <w:spacing w:before="120" w:after="120"/>
        <w:jc w:val="both"/>
        <w:rPr>
          <w:lang w:val="en-GB"/>
        </w:rPr>
      </w:pPr>
      <w:r>
        <w:rPr>
          <w:rFonts w:cs="Arial"/>
          <w:sz w:val="24"/>
          <w:szCs w:val="24"/>
        </w:rPr>
        <w:t xml:space="preserve">The </w:t>
      </w:r>
      <w:r w:rsidR="00C10014">
        <w:rPr>
          <w:rFonts w:cs="Arial"/>
          <w:sz w:val="24"/>
          <w:szCs w:val="24"/>
        </w:rPr>
        <w:t>Secretariat is asked to finalis</w:t>
      </w:r>
      <w:r w:rsidR="0050605E">
        <w:rPr>
          <w:rFonts w:cs="Arial"/>
          <w:sz w:val="24"/>
          <w:szCs w:val="24"/>
        </w:rPr>
        <w:t xml:space="preserve">e the reformatting of the 6 documents to which the ENG Committee </w:t>
      </w:r>
      <w:r w:rsidR="007D6A7E">
        <w:rPr>
          <w:rFonts w:cs="Arial"/>
          <w:sz w:val="24"/>
          <w:szCs w:val="24"/>
        </w:rPr>
        <w:t>has responded</w:t>
      </w:r>
      <w:r w:rsidR="0050605E">
        <w:rPr>
          <w:rFonts w:cs="Arial"/>
          <w:sz w:val="24"/>
          <w:szCs w:val="24"/>
        </w:rPr>
        <w:t>.</w:t>
      </w:r>
      <w:r w:rsidR="00671729">
        <w:rPr>
          <w:rFonts w:cs="Arial"/>
          <w:sz w:val="24"/>
          <w:szCs w:val="24"/>
        </w:rPr>
        <w:t xml:space="preserve">  </w:t>
      </w:r>
    </w:p>
    <w:sectPr w:rsidR="009E58C1" w:rsidRPr="007D6A7E" w:rsidSect="00773AA1">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D7CF48" w14:textId="77777777" w:rsidR="0026561D" w:rsidRDefault="0026561D" w:rsidP="00002906">
      <w:r>
        <w:separator/>
      </w:r>
    </w:p>
  </w:endnote>
  <w:endnote w:type="continuationSeparator" w:id="0">
    <w:p w14:paraId="464C1F57" w14:textId="77777777" w:rsidR="0026561D" w:rsidRDefault="0026561D"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C3C4B3" w14:textId="77777777" w:rsidR="00A06429" w:rsidRDefault="00A06429">
    <w:pPr>
      <w:pStyle w:val="Footer"/>
    </w:pPr>
    <w:r>
      <w:tab/>
    </w:r>
    <w:r>
      <w:rPr>
        <w:noProof w:val="0"/>
      </w:rPr>
      <w:fldChar w:fldCharType="begin"/>
    </w:r>
    <w:r>
      <w:instrText xml:space="preserve"> PAGE   \* MERGEFORMAT </w:instrText>
    </w:r>
    <w:r>
      <w:rPr>
        <w:noProof w:val="0"/>
      </w:rPr>
      <w:fldChar w:fldCharType="separate"/>
    </w:r>
    <w:r w:rsidR="008026E1">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29F80A" w14:textId="77777777" w:rsidR="0026561D" w:rsidRDefault="0026561D" w:rsidP="00002906">
      <w:r>
        <w:separator/>
      </w:r>
    </w:p>
  </w:footnote>
  <w:footnote w:type="continuationSeparator" w:id="0">
    <w:p w14:paraId="71F04821" w14:textId="77777777" w:rsidR="0026561D" w:rsidRDefault="0026561D" w:rsidP="000029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24814CF"/>
    <w:multiLevelType w:val="hybridMultilevel"/>
    <w:tmpl w:val="F3B060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15:restartNumberingAfterBreak="0">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19E0557D"/>
    <w:multiLevelType w:val="hybridMultilevel"/>
    <w:tmpl w:val="BC70C0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D508F4"/>
    <w:multiLevelType w:val="multilevel"/>
    <w:tmpl w:val="6598DA5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B5F1D8E"/>
    <w:multiLevelType w:val="hybridMultilevel"/>
    <w:tmpl w:val="2A1619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8F0034B"/>
    <w:multiLevelType w:val="hybridMultilevel"/>
    <w:tmpl w:val="26F27D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6"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7E4D25E3"/>
    <w:multiLevelType w:val="multilevel"/>
    <w:tmpl w:val="948AEC9E"/>
    <w:lvl w:ilvl="0">
      <w:start w:val="1"/>
      <w:numFmt w:val="decimal"/>
      <w:pStyle w:val="AnnexHead1"/>
      <w:lvlText w:val="%1"/>
      <w:lvlJc w:val="left"/>
      <w:pPr>
        <w:ind w:left="567" w:hanging="567"/>
      </w:pPr>
      <w:rPr>
        <w:rFonts w:ascii="Arial Bold" w:hAnsi="Arial Bold" w:hint="default"/>
        <w:b/>
        <w:bCs/>
        <w:i w:val="0"/>
        <w:iCs w:val="0"/>
        <w:caps/>
        <w:sz w:val="24"/>
        <w:szCs w:val="24"/>
      </w:rPr>
    </w:lvl>
    <w:lvl w:ilvl="1">
      <w:start w:val="1"/>
      <w:numFmt w:val="decimal"/>
      <w:pStyle w:val="AnnexHead2"/>
      <w:lvlText w:val="%1.%2"/>
      <w:lvlJc w:val="left"/>
      <w:pPr>
        <w:ind w:left="851" w:hanging="851"/>
      </w:pPr>
      <w:rPr>
        <w:rFonts w:ascii="Arial Bold" w:hAnsi="Arial Bold" w:hint="default"/>
        <w:b/>
        <w:bCs/>
        <w:i w:val="0"/>
        <w:iCs w:val="0"/>
        <w:sz w:val="22"/>
        <w:szCs w:val="22"/>
      </w:rPr>
    </w:lvl>
    <w:lvl w:ilvl="2">
      <w:start w:val="1"/>
      <w:numFmt w:val="decimal"/>
      <w:pStyle w:val="AnnexHead3"/>
      <w:lvlText w:val="%1.%2.%3"/>
      <w:lvlJc w:val="left"/>
      <w:pPr>
        <w:ind w:left="992" w:hanging="992"/>
      </w:pPr>
      <w:rPr>
        <w:rFonts w:ascii="Arial" w:hAnsi="Arial" w:hint="default"/>
        <w:b w:val="0"/>
        <w:bCs w:val="0"/>
        <w:i w:val="0"/>
        <w:iCs w:val="0"/>
        <w:sz w:val="22"/>
        <w:szCs w:val="22"/>
      </w:rPr>
    </w:lvl>
    <w:lvl w:ilvl="3">
      <w:start w:val="1"/>
      <w:numFmt w:val="decimal"/>
      <w:pStyle w:val="AnnexHead4"/>
      <w:lvlText w:val="%1.%2.%3.%4"/>
      <w:lvlJc w:val="left"/>
      <w:pPr>
        <w:tabs>
          <w:tab w:val="num" w:pos="0"/>
        </w:tabs>
        <w:ind w:left="1134" w:hanging="1134"/>
      </w:pPr>
      <w:rPr>
        <w:rFonts w:ascii="Arial" w:hAnsi="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2"/>
  </w:num>
  <w:num w:numId="2">
    <w:abstractNumId w:val="17"/>
  </w:num>
  <w:num w:numId="3">
    <w:abstractNumId w:val="12"/>
  </w:num>
  <w:num w:numId="4">
    <w:abstractNumId w:val="12"/>
  </w:num>
  <w:num w:numId="5">
    <w:abstractNumId w:val="6"/>
  </w:num>
  <w:num w:numId="6">
    <w:abstractNumId w:val="13"/>
  </w:num>
  <w:num w:numId="7">
    <w:abstractNumId w:val="10"/>
  </w:num>
  <w:num w:numId="8">
    <w:abstractNumId w:val="0"/>
  </w:num>
  <w:num w:numId="9">
    <w:abstractNumId w:val="5"/>
  </w:num>
  <w:num w:numId="10">
    <w:abstractNumId w:val="14"/>
  </w:num>
  <w:num w:numId="11">
    <w:abstractNumId w:val="2"/>
  </w:num>
  <w:num w:numId="12">
    <w:abstractNumId w:val="2"/>
  </w:num>
  <w:num w:numId="13">
    <w:abstractNumId w:val="2"/>
  </w:num>
  <w:num w:numId="14">
    <w:abstractNumId w:val="2"/>
  </w:num>
  <w:num w:numId="15">
    <w:abstractNumId w:val="2"/>
  </w:num>
  <w:num w:numId="16">
    <w:abstractNumId w:val="7"/>
  </w:num>
  <w:num w:numId="17">
    <w:abstractNumId w:val="16"/>
  </w:num>
  <w:num w:numId="18">
    <w:abstractNumId w:val="4"/>
  </w:num>
  <w:num w:numId="19">
    <w:abstractNumId w:val="15"/>
  </w:num>
  <w:num w:numId="20">
    <w:abstractNumId w:val="11"/>
  </w:num>
  <w:num w:numId="21">
    <w:abstractNumId w:val="7"/>
  </w:num>
  <w:num w:numId="22">
    <w:abstractNumId w:val="7"/>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8"/>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29A"/>
    <w:rsid w:val="00002906"/>
    <w:rsid w:val="00031A92"/>
    <w:rsid w:val="000348ED"/>
    <w:rsid w:val="00036673"/>
    <w:rsid w:val="00036801"/>
    <w:rsid w:val="00050DA7"/>
    <w:rsid w:val="000A5A01"/>
    <w:rsid w:val="000D6ADA"/>
    <w:rsid w:val="00113634"/>
    <w:rsid w:val="00121CDF"/>
    <w:rsid w:val="00135447"/>
    <w:rsid w:val="00152273"/>
    <w:rsid w:val="00162C27"/>
    <w:rsid w:val="001A654A"/>
    <w:rsid w:val="001C74CF"/>
    <w:rsid w:val="001F6B70"/>
    <w:rsid w:val="00201BD9"/>
    <w:rsid w:val="002054E2"/>
    <w:rsid w:val="00211FDC"/>
    <w:rsid w:val="00250CD0"/>
    <w:rsid w:val="002634FA"/>
    <w:rsid w:val="0026561D"/>
    <w:rsid w:val="002E7923"/>
    <w:rsid w:val="003178BB"/>
    <w:rsid w:val="00352C1A"/>
    <w:rsid w:val="00373838"/>
    <w:rsid w:val="0037726E"/>
    <w:rsid w:val="0038389D"/>
    <w:rsid w:val="00386A04"/>
    <w:rsid w:val="003A1481"/>
    <w:rsid w:val="003C0E66"/>
    <w:rsid w:val="003D55DD"/>
    <w:rsid w:val="003E1831"/>
    <w:rsid w:val="003E5753"/>
    <w:rsid w:val="003E7D2E"/>
    <w:rsid w:val="00424954"/>
    <w:rsid w:val="00435290"/>
    <w:rsid w:val="00437A72"/>
    <w:rsid w:val="004908F7"/>
    <w:rsid w:val="004922AC"/>
    <w:rsid w:val="004A7ACE"/>
    <w:rsid w:val="004C1386"/>
    <w:rsid w:val="004C220D"/>
    <w:rsid w:val="004C76B2"/>
    <w:rsid w:val="004F5685"/>
    <w:rsid w:val="00505FAE"/>
    <w:rsid w:val="0050605E"/>
    <w:rsid w:val="00520BFD"/>
    <w:rsid w:val="00542EB3"/>
    <w:rsid w:val="00543A41"/>
    <w:rsid w:val="005651EA"/>
    <w:rsid w:val="005D05AC"/>
    <w:rsid w:val="00630F7F"/>
    <w:rsid w:val="0064435F"/>
    <w:rsid w:val="00650964"/>
    <w:rsid w:val="006576E9"/>
    <w:rsid w:val="006604FA"/>
    <w:rsid w:val="00671729"/>
    <w:rsid w:val="006765D4"/>
    <w:rsid w:val="00684DA9"/>
    <w:rsid w:val="006C1BC6"/>
    <w:rsid w:val="006D227D"/>
    <w:rsid w:val="006D470F"/>
    <w:rsid w:val="006D6205"/>
    <w:rsid w:val="0072068D"/>
    <w:rsid w:val="00727E88"/>
    <w:rsid w:val="007650F1"/>
    <w:rsid w:val="007728AB"/>
    <w:rsid w:val="00773AA1"/>
    <w:rsid w:val="00775878"/>
    <w:rsid w:val="00782360"/>
    <w:rsid w:val="007A7350"/>
    <w:rsid w:val="007D6A7E"/>
    <w:rsid w:val="00800567"/>
    <w:rsid w:val="0080092C"/>
    <w:rsid w:val="008026E1"/>
    <w:rsid w:val="008064B1"/>
    <w:rsid w:val="00807BBE"/>
    <w:rsid w:val="00855CAF"/>
    <w:rsid w:val="00872453"/>
    <w:rsid w:val="008C2810"/>
    <w:rsid w:val="008E3CCB"/>
    <w:rsid w:val="008E5D72"/>
    <w:rsid w:val="008F13DD"/>
    <w:rsid w:val="0090271C"/>
    <w:rsid w:val="00902AA4"/>
    <w:rsid w:val="00972629"/>
    <w:rsid w:val="009B4067"/>
    <w:rsid w:val="009E58C1"/>
    <w:rsid w:val="009F3B6C"/>
    <w:rsid w:val="009F5C36"/>
    <w:rsid w:val="00A06429"/>
    <w:rsid w:val="00A15100"/>
    <w:rsid w:val="00A27F12"/>
    <w:rsid w:val="00A30579"/>
    <w:rsid w:val="00A97A04"/>
    <w:rsid w:val="00AA76C0"/>
    <w:rsid w:val="00AD673D"/>
    <w:rsid w:val="00B077EC"/>
    <w:rsid w:val="00B1180A"/>
    <w:rsid w:val="00B15B24"/>
    <w:rsid w:val="00B41898"/>
    <w:rsid w:val="00B765A7"/>
    <w:rsid w:val="00B8247E"/>
    <w:rsid w:val="00C10014"/>
    <w:rsid w:val="00C15B5A"/>
    <w:rsid w:val="00C206C5"/>
    <w:rsid w:val="00C36C78"/>
    <w:rsid w:val="00C73CDC"/>
    <w:rsid w:val="00C85609"/>
    <w:rsid w:val="00CA04AF"/>
    <w:rsid w:val="00CF480C"/>
    <w:rsid w:val="00D23F90"/>
    <w:rsid w:val="00D35560"/>
    <w:rsid w:val="00D50A7C"/>
    <w:rsid w:val="00D534EC"/>
    <w:rsid w:val="00DB3B25"/>
    <w:rsid w:val="00DE4640"/>
    <w:rsid w:val="00E03262"/>
    <w:rsid w:val="00E14A7D"/>
    <w:rsid w:val="00E22AFE"/>
    <w:rsid w:val="00E23578"/>
    <w:rsid w:val="00E317F2"/>
    <w:rsid w:val="00E61E2A"/>
    <w:rsid w:val="00E6591D"/>
    <w:rsid w:val="00E90E17"/>
    <w:rsid w:val="00E936C7"/>
    <w:rsid w:val="00E93C9B"/>
    <w:rsid w:val="00E94598"/>
    <w:rsid w:val="00EA24CC"/>
    <w:rsid w:val="00EB31D0"/>
    <w:rsid w:val="00EC1145"/>
    <w:rsid w:val="00EC1618"/>
    <w:rsid w:val="00EC3370"/>
    <w:rsid w:val="00ED09F8"/>
    <w:rsid w:val="00EE3F2F"/>
    <w:rsid w:val="00F3429A"/>
    <w:rsid w:val="00F73F78"/>
    <w:rsid w:val="00FA5842"/>
    <w:rsid w:val="00FA6769"/>
    <w:rsid w:val="00FD03CA"/>
    <w:rsid w:val="00FD3FB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475E69"/>
  <w15:docId w15:val="{3366A62D-A60B-4107-92A4-AF9DAD759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noProof/>
      <w:sz w:val="22"/>
      <w:lang w:val="en-AU"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42EB3"/>
    <w:pPr>
      <w:numPr>
        <w:numId w:val="22"/>
      </w:numPr>
      <w:spacing w:after="120"/>
      <w:jc w:val="both"/>
    </w:pPr>
    <w:rPr>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st1">
    <w:name w:val="st1"/>
    <w:basedOn w:val="DefaultParagraphFont"/>
    <w:rsid w:val="00EC3370"/>
  </w:style>
  <w:style w:type="paragraph" w:customStyle="1" w:styleId="AnnexHead1">
    <w:name w:val="Annex Head 1"/>
    <w:basedOn w:val="Normal"/>
    <w:next w:val="BodyText"/>
    <w:rsid w:val="009E58C1"/>
    <w:pPr>
      <w:numPr>
        <w:numId w:val="26"/>
      </w:numPr>
      <w:spacing w:before="240" w:after="120"/>
    </w:pPr>
    <w:rPr>
      <w:rFonts w:eastAsia="Calibri" w:cs="Calibri"/>
      <w:b/>
      <w:bCs/>
      <w:caps/>
      <w:noProof w:val="0"/>
      <w:sz w:val="24"/>
      <w:szCs w:val="24"/>
      <w:lang w:val="en-GB" w:eastAsia="en-GB"/>
    </w:rPr>
  </w:style>
  <w:style w:type="paragraph" w:customStyle="1" w:styleId="AnnexHead2">
    <w:name w:val="Annex Head 2"/>
    <w:basedOn w:val="Normal"/>
    <w:next w:val="BodyText"/>
    <w:rsid w:val="009E58C1"/>
    <w:pPr>
      <w:numPr>
        <w:ilvl w:val="1"/>
        <w:numId w:val="26"/>
      </w:numPr>
      <w:spacing w:before="120" w:after="120"/>
    </w:pPr>
    <w:rPr>
      <w:rFonts w:eastAsia="Calibri" w:cs="Calibri"/>
      <w:b/>
      <w:noProof w:val="0"/>
      <w:szCs w:val="22"/>
      <w:lang w:val="en-GB" w:eastAsia="en-GB"/>
    </w:rPr>
  </w:style>
  <w:style w:type="paragraph" w:customStyle="1" w:styleId="AnnexHead3">
    <w:name w:val="Annex Head 3"/>
    <w:basedOn w:val="Normal"/>
    <w:next w:val="BodyText"/>
    <w:rsid w:val="009E58C1"/>
    <w:pPr>
      <w:numPr>
        <w:ilvl w:val="2"/>
        <w:numId w:val="26"/>
      </w:numPr>
      <w:spacing w:before="120" w:after="120"/>
    </w:pPr>
    <w:rPr>
      <w:rFonts w:eastAsia="Calibri" w:cs="Calibri"/>
      <w:noProof w:val="0"/>
      <w:szCs w:val="22"/>
      <w:lang w:val="en-GB" w:eastAsia="en-GB"/>
    </w:rPr>
  </w:style>
  <w:style w:type="paragraph" w:customStyle="1" w:styleId="AnnexHead4">
    <w:name w:val="Annex Head 4"/>
    <w:basedOn w:val="Normal"/>
    <w:next w:val="BodyText"/>
    <w:rsid w:val="009E58C1"/>
    <w:pPr>
      <w:numPr>
        <w:ilvl w:val="3"/>
        <w:numId w:val="26"/>
      </w:numPr>
      <w:spacing w:before="120" w:after="120"/>
    </w:pPr>
    <w:rPr>
      <w:rFonts w:eastAsia="Calibri" w:cs="Calibri"/>
      <w:noProof w:val="0"/>
      <w:szCs w:val="22"/>
      <w:lang w:val="en-GB" w:eastAsia="en-GB"/>
    </w:rPr>
  </w:style>
  <w:style w:type="paragraph" w:styleId="ListParagraph">
    <w:name w:val="List Paragraph"/>
    <w:basedOn w:val="Normal"/>
    <w:uiPriority w:val="34"/>
    <w:rsid w:val="00A06429"/>
    <w:pPr>
      <w:ind w:left="720"/>
      <w:contextualSpacing/>
    </w:pPr>
  </w:style>
  <w:style w:type="paragraph" w:styleId="FootnoteText">
    <w:name w:val="footnote text"/>
    <w:basedOn w:val="Normal"/>
    <w:link w:val="FootnoteTextChar"/>
    <w:rsid w:val="00A97A04"/>
    <w:rPr>
      <w:sz w:val="20"/>
    </w:rPr>
  </w:style>
  <w:style w:type="character" w:customStyle="1" w:styleId="FootnoteTextChar">
    <w:name w:val="Footnote Text Char"/>
    <w:basedOn w:val="DefaultParagraphFont"/>
    <w:link w:val="FootnoteText"/>
    <w:rsid w:val="00A97A04"/>
    <w:rPr>
      <w:rFonts w:ascii="Arial" w:hAnsi="Arial"/>
      <w:noProof/>
      <w:lang w:val="en-AU" w:eastAsia="en-US"/>
    </w:rPr>
  </w:style>
  <w:style w:type="character" w:styleId="FootnoteReference">
    <w:name w:val="footnote reference"/>
    <w:basedOn w:val="DefaultParagraphFont"/>
    <w:rsid w:val="00A97A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459845">
      <w:bodyDiv w:val="1"/>
      <w:marLeft w:val="0"/>
      <w:marRight w:val="0"/>
      <w:marTop w:val="0"/>
      <w:marBottom w:val="0"/>
      <w:divBdr>
        <w:top w:val="none" w:sz="0" w:space="0" w:color="auto"/>
        <w:left w:val="none" w:sz="0" w:space="0" w:color="auto"/>
        <w:bottom w:val="none" w:sz="0" w:space="0" w:color="auto"/>
        <w:right w:val="none" w:sz="0" w:space="0" w:color="auto"/>
      </w:divBdr>
    </w:div>
    <w:div w:id="1996258725">
      <w:bodyDiv w:val="1"/>
      <w:marLeft w:val="0"/>
      <w:marRight w:val="0"/>
      <w:marTop w:val="0"/>
      <w:marBottom w:val="0"/>
      <w:divBdr>
        <w:top w:val="none" w:sz="0" w:space="0" w:color="auto"/>
        <w:left w:val="none" w:sz="0" w:space="0" w:color="auto"/>
        <w:bottom w:val="none" w:sz="0" w:space="0" w:color="auto"/>
        <w:right w:val="none" w:sz="0" w:space="0" w:color="auto"/>
      </w:divBdr>
    </w:div>
    <w:div w:id="2077240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xa\Desktop\e-NAV12\Output\e-NAV%2012%20Liaison%20to%20EE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9A76E4-46F9-4B84-B04A-A532C8761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e-NAV 12 Liaison to EEP.dotx</Template>
  <TotalTime>1</TotalTime>
  <Pages>1</Pages>
  <Words>364</Words>
  <Characters>2081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Liaison note from ENG3 to ARM3 Working Group</vt:lpstr>
    </vt:vector>
  </TitlesOfParts>
  <Company>DFO-MPO</Company>
  <LinksUpToDate>false</LinksUpToDate>
  <CharactersWithSpaces>2441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ENG3 to ARM3 Working Group</dc:title>
  <dc:creator>Adam Hay</dc:creator>
  <cp:lastModifiedBy>Seamus Doyle</cp:lastModifiedBy>
  <cp:revision>2</cp:revision>
  <cp:lastPrinted>2012-09-27T10:00:00Z</cp:lastPrinted>
  <dcterms:created xsi:type="dcterms:W3CDTF">2016-10-13T07:15:00Z</dcterms:created>
  <dcterms:modified xsi:type="dcterms:W3CDTF">2016-10-13T07:15:00Z</dcterms:modified>
</cp:coreProperties>
</file>